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media/image3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pageBreakBefore/>
        <w:jc w:val="both"/>
      </w:pPr>
      <w:r>
        <w:rPr>
          <w:rStyle w:val="style15"/>
          <w:lang w:bidi="ar-SA" w:eastAsia="sk-SK"/>
        </w:rPr>
        <w:drawing>
          <wp:inline distB="0" distL="0" distR="0" distT="0">
            <wp:extent cx="2148840" cy="62484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                                        </w:t>
      </w:r>
      <w:r>
        <w:rPr>
          <w:rStyle w:val="style15"/>
          <w:lang w:bidi="ar-SA" w:eastAsia="sk-SK"/>
        </w:rPr>
        <w:drawing>
          <wp:inline distB="0" distL="0" distR="0" distT="0">
            <wp:extent cx="1837055" cy="629920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2"/>
        <w:jc w:val="both"/>
      </w:pPr>
      <w:r>
        <w:rPr/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1624330</wp:posOffset>
            </wp:positionH>
            <wp:positionV relativeFrom="paragraph">
              <wp:posOffset>-15240</wp:posOffset>
            </wp:positionV>
            <wp:extent cx="3075940" cy="657860"/>
            <wp:effectExtent b="0" l="0" r="0" t="0"/>
            <wp:wrapNone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2"/>
        <w:jc w:val="both"/>
      </w:pPr>
      <w:r>
        <w:rPr/>
      </w:r>
    </w:p>
    <w:p>
      <w:pPr>
        <w:pStyle w:val="style22"/>
        <w:jc w:val="both"/>
      </w:pPr>
      <w:r>
        <w:rPr/>
      </w:r>
    </w:p>
    <w:p>
      <w:pPr>
        <w:pStyle w:val="style22"/>
        <w:jc w:val="both"/>
      </w:pPr>
      <w:r>
        <w:rPr>
          <w:b/>
          <w:bCs/>
        </w:rPr>
      </w:r>
    </w:p>
    <w:p>
      <w:pPr>
        <w:pStyle w:val="style22"/>
        <w:jc w:val="both"/>
      </w:pPr>
      <w:r>
        <w:rPr>
          <w:b/>
          <w:bCs/>
        </w:rPr>
        <w:t>Projekt  - ENVITALENT</w:t>
      </w:r>
    </w:p>
    <w:p>
      <w:pPr>
        <w:pStyle w:val="style27"/>
        <w:jc w:val="both"/>
      </w:pPr>
      <w:r>
        <w:rPr/>
        <w:t>Projekt bol podporený národnou agentúrou pre celoživotné vzdelávanie a trval                       od 1.8.2013 do 31.7.2015</w:t>
      </w:r>
    </w:p>
    <w:p>
      <w:pPr>
        <w:pStyle w:val="style22"/>
        <w:jc w:val="both"/>
      </w:pPr>
      <w:r>
        <w:rPr>
          <w:b/>
          <w:bCs/>
        </w:rPr>
      </w:r>
    </w:p>
    <w:tbl>
      <w:tblPr>
        <w:jc w:val="left"/>
        <w:tblInd w:type="dxa" w:w="7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"/>
          <w:bottom w:type="dxa" w:w="0"/>
          <w:right w:type="dxa" w:w="10"/>
        </w:tblCellMar>
      </w:tblPr>
      <w:tblGrid>
        <w:gridCol w:w="9064"/>
      </w:tblGrid>
      <w:tr>
        <w:trPr>
          <w:cantSplit w:val="false"/>
        </w:trPr>
        <w:tc>
          <w:tcPr>
            <w:tcW w:type="dxa" w:w="906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7"/>
              <w:spacing w:after="283" w:before="0"/>
              <w:contextualSpacing w:val="false"/>
              <w:jc w:val="both"/>
            </w:pPr>
            <w:r>
              <w:rPr>
                <w:rStyle w:val="style15"/>
                <w:b/>
                <w:bCs/>
              </w:rPr>
              <w:t xml:space="preserve">Partneri projektu: </w:t>
            </w:r>
            <w:r>
              <w:rPr/>
              <w:t>Moravskosliezsky kraj, Stredná priemyselná škola chemická akademika Heyrovského a Gymnázium, Ostrava, Klub ekologickej výchovy, Praha, Mesto Banská Bystrica, Gymnázium Andreja Sládkoviča, Banská Bystrica, Základná škola, Ďumbierska 17, Banská Bystrica</w:t>
            </w:r>
          </w:p>
        </w:tc>
      </w:tr>
    </w:tbl>
    <w:p>
      <w:pPr>
        <w:pStyle w:val="style22"/>
      </w:pPr>
      <w:r>
        <w:rPr/>
      </w:r>
    </w:p>
    <w:p>
      <w:pPr>
        <w:pStyle w:val="style22"/>
        <w:spacing w:after="100" w:before="0"/>
        <w:contextualSpacing w:val="false"/>
      </w:pPr>
      <w:r>
        <w:rPr>
          <w:b/>
        </w:rPr>
        <w:t>Ciele partnerstva:</w:t>
      </w:r>
    </w:p>
    <w:p>
      <w:pPr>
        <w:pStyle w:val="style22"/>
        <w:spacing w:after="102" w:before="102"/>
        <w:contextualSpacing w:val="false"/>
        <w:jc w:val="both"/>
      </w:pPr>
      <w:r>
        <w:rPr/>
        <w:t>Nadviazať dlhodobú spoluprácu medzi Moravskosliezskym krajom a mestom Banská Bystrica ako aj partnerskými inštitúciami zapojených regiónov v oblasti vzdelávania pre udržateľný rozvoj, a v oblasti environmentálneho vzdelávania, výchovy a osvety.</w:t>
      </w:r>
    </w:p>
    <w:p>
      <w:pPr>
        <w:pStyle w:val="style22"/>
        <w:spacing w:after="102" w:before="102"/>
        <w:contextualSpacing w:val="false"/>
        <w:jc w:val="both"/>
      </w:pPr>
      <w:r>
        <w:rPr/>
        <w:t>Získať nové skúsenosti a námety pre prácu s nadanými žiakmi.</w:t>
      </w:r>
    </w:p>
    <w:p>
      <w:pPr>
        <w:pStyle w:val="style22"/>
        <w:spacing w:after="102" w:before="102"/>
        <w:contextualSpacing w:val="false"/>
        <w:jc w:val="both"/>
      </w:pPr>
      <w:r>
        <w:rPr/>
        <w:t>Analyzovať kritériá pre identifikáciu nadania v oblasti environmentu a determinovať nástroje starostlivosti o nadaných žiakov.</w:t>
      </w:r>
    </w:p>
    <w:p>
      <w:pPr>
        <w:pStyle w:val="style22"/>
        <w:spacing w:after="102" w:before="102"/>
        <w:contextualSpacing w:val="false"/>
        <w:jc w:val="both"/>
      </w:pPr>
      <w:r>
        <w:rPr/>
        <w:t>Vytvoriť spoločnú metodickú príručku pre identifikáciu a prácu s nadanými žiakmi v oblasti holistickej environmentálnej výchovy.</w:t>
      </w:r>
    </w:p>
    <w:p>
      <w:pPr>
        <w:pStyle w:val="style22"/>
        <w:spacing w:after="102" w:before="102"/>
        <w:contextualSpacing w:val="false"/>
        <w:jc w:val="both"/>
      </w:pPr>
      <w:r>
        <w:rPr/>
        <w:t>Zahájiť medzinárodnú súťaž „Envitalent“.</w:t>
      </w:r>
    </w:p>
    <w:p>
      <w:pPr>
        <w:pStyle w:val="style22"/>
        <w:spacing w:after="100" w:before="0"/>
        <w:contextualSpacing w:val="false"/>
        <w:jc w:val="both"/>
      </w:pPr>
      <w:r>
        <w:rPr/>
      </w:r>
    </w:p>
    <w:p>
      <w:pPr>
        <w:pStyle w:val="style22"/>
        <w:spacing w:after="100" w:before="0"/>
        <w:contextualSpacing w:val="false"/>
      </w:pPr>
      <w:r>
        <w:rPr>
          <w:b/>
        </w:rPr>
        <w:t>Hlavné výsledky a závery:</w:t>
      </w:r>
    </w:p>
    <w:p>
      <w:pPr>
        <w:pStyle w:val="style22"/>
        <w:spacing w:after="100" w:before="100"/>
        <w:contextualSpacing w:val="false"/>
        <w:jc w:val="both"/>
      </w:pPr>
      <w:r>
        <w:rPr/>
        <w:t>Projekt Envitalent vytvoril predpoklady pre dlhodobú spoluprácu v oblasti rozvoja nadania žiakov a holistickej environmentálnej výchovy. Prostredníctvom realizovaných aktivít v školskom aj mimoškolskom prostredí získali zúčastnení pedagógovia bohaté skúsenosti a nové námety v oblasti bádateľsky orientovaného vzdelávania so zameraním na nadanie  v prírodovednej oblasti.</w:t>
      </w:r>
    </w:p>
    <w:p>
      <w:pPr>
        <w:pStyle w:val="style22"/>
        <w:spacing w:after="100" w:before="100"/>
        <w:contextualSpacing w:val="false"/>
        <w:jc w:val="both"/>
      </w:pPr>
      <w:r>
        <w:rPr/>
        <w:t>Odborný projektový tím navrhol kritériá pre identifikáciu nadania v oblasti environmentálnej výchovy a aktivity priamo rozvíjajúce nadanie žiakov v tejto oblasti.</w:t>
      </w:r>
    </w:p>
    <w:p>
      <w:pPr>
        <w:pStyle w:val="style22"/>
        <w:spacing w:after="100" w:before="100"/>
        <w:contextualSpacing w:val="false"/>
        <w:jc w:val="both"/>
      </w:pPr>
      <w:r>
        <w:rPr/>
        <w:t>Medzinárodný tím autorov vytvoril metodickú príručku  „Environmentálna výchova ako priestor pre rozvoj intelektovo nadaných žiakov“, ktorá obsahuje kritériá pre identifikáciu nadania a návrh overených aktivít environmentálnej výchovy pre nadaných žiakov. Metodická príručka je voľne dostupná a publikovaná na webových stránkach projektových partnerov.</w:t>
      </w:r>
    </w:p>
    <w:p>
      <w:pPr>
        <w:pStyle w:val="style22"/>
        <w:spacing w:after="100" w:before="100"/>
        <w:contextualSpacing w:val="false"/>
        <w:jc w:val="both"/>
      </w:pPr>
      <w:r>
        <w:rPr/>
        <w:t>Projekt zahájil medzinárodnú environmentálnu súťaž žiakov „Envitalent“, ktorá bude pravidelne vyhlasovaná v obidvoch krajinách s postupom do medzinárodného finále a jej pilotný ročník sa uskutočnil v júni 2015 v Banskej Bystrici. K súťaži bolo vytvorené nové logo používané v obidvoch krajinách.</w:t>
      </w:r>
    </w:p>
    <w:p>
      <w:pPr>
        <w:pStyle w:val="style22"/>
        <w:jc w:val="both"/>
      </w:pPr>
      <w:r>
        <w:rPr/>
      </w:r>
    </w:p>
    <w:p>
      <w:pPr>
        <w:pStyle w:val="style22"/>
        <w:spacing w:after="100" w:before="0"/>
        <w:contextualSpacing w:val="false"/>
        <w:jc w:val="both"/>
      </w:pPr>
      <w:r>
        <w:rPr>
          <w:b/>
        </w:rPr>
        <w:t>Dopad a využívanie:</w:t>
      </w:r>
    </w:p>
    <w:p>
      <w:pPr>
        <w:pStyle w:val="style22"/>
        <w:spacing w:after="102" w:before="102"/>
        <w:contextualSpacing w:val="false"/>
        <w:jc w:val="both"/>
      </w:pPr>
      <w:r>
        <w:rPr/>
        <w:t>Projekt vytvoril jedinečný priestor na poli medzinárodnej spolupráce partnerských regiónov. Zapojené organizácie týmto získali dlhodobých partnerov pre nové projekty ako aj pre zdieľanie „best practice“ výchovno-vzdelávacích postupov s nadanými žiakmi.</w:t>
      </w:r>
    </w:p>
    <w:p>
      <w:pPr>
        <w:pStyle w:val="style22"/>
        <w:spacing w:after="102" w:before="102"/>
        <w:contextualSpacing w:val="false"/>
        <w:jc w:val="both"/>
      </w:pPr>
      <w:r>
        <w:rPr/>
        <w:t>Na úrovni pedagógov projekt prispel k nadobudnutiu nových profesijných kompetencií na základe medzinárodnej výmeny skúseností a osobnej účasti na vybraných environmentálnych aktivitách počas mobilít.</w:t>
      </w:r>
    </w:p>
    <w:p>
      <w:pPr>
        <w:pStyle w:val="style22"/>
        <w:spacing w:after="102" w:before="102"/>
        <w:contextualSpacing w:val="false"/>
        <w:jc w:val="both"/>
      </w:pPr>
      <w:r>
        <w:rPr/>
        <w:t>Navrhnuté kritériá identifikácie nadaných žiakov a súvisiaci návrh aktivít publikovaný           v metodickej príručke tvorí dôležitý materiál pre pedagógov a ďalších odborníkov zaoberajúcich sa implementáciou environmentálnej výchovy a prácou s nadanými žiakmi        v prírodovednej oblasti.</w:t>
      </w:r>
    </w:p>
    <w:p>
      <w:pPr>
        <w:pStyle w:val="style22"/>
        <w:spacing w:after="102" w:before="102"/>
        <w:contextualSpacing w:val="false"/>
        <w:jc w:val="both"/>
      </w:pPr>
      <w:r>
        <w:rPr/>
        <w:t>Medzinárodná súťaž „Envitalent“, predstavuje jedinečný nástroj pre oceňovanie individuálnej snahy a motiváciu žiakov a pedagógov k riešeniu lokálnych environmentálnych projektov zvyšujúcich environmentálne povedomie žiakov a obyvateľov dotknutých komunít. Súťaž „Envitalent“, ako aj odborná metodická príručka, má potenciál šírenia do ďalších krajín prostredníctvom medzinárodných konferencií a pripravovaných projektov.</w:t>
      </w:r>
    </w:p>
    <w:p>
      <w:pPr>
        <w:pStyle w:val="style22"/>
        <w:jc w:val="both"/>
      </w:pPr>
      <w:r>
        <w:rPr/>
      </w:r>
    </w:p>
    <w:p>
      <w:pPr>
        <w:pStyle w:val="style22"/>
        <w:jc w:val="both"/>
      </w:pPr>
      <w:r>
        <w:rPr/>
      </w:r>
    </w:p>
    <w:p>
      <w:pPr>
        <w:pStyle w:val="style22"/>
        <w:jc w:val="both"/>
      </w:pPr>
      <w:r>
        <w:rPr>
          <w:rStyle w:val="style18"/>
          <w:color w:val="000080"/>
        </w:rPr>
        <w:tab/>
      </w:r>
      <w:r>
        <w:rPr>
          <w:rStyle w:val="style18"/>
          <w:color w:val="000080"/>
        </w:rPr>
        <w:tab/>
      </w:r>
      <w:r>
        <w:rPr>
          <w:rStyle w:val="style18"/>
          <w:color w:val="000080"/>
        </w:rPr>
        <w:tab/>
        <w:t>Environme</w:t>
      </w:r>
      <w:r>
        <w:rPr>
          <w:rStyle w:val="style18"/>
          <w:color w:val="000080"/>
        </w:rPr>
        <w:t>ntálna výchova - publikácia na stiahnutie</w:t>
      </w:r>
    </w:p>
    <w:p>
      <w:pPr>
        <w:pStyle w:val="style22"/>
        <w:jc w:val="center"/>
      </w:pPr>
      <w:r>
        <w:rPr/>
        <w:br/>
        <w:br/>
        <w:t>Publikáciu</w:t>
        <w:br/>
      </w:r>
      <w:r>
        <w:rPr>
          <w:rStyle w:val="style18"/>
        </w:rPr>
        <w:t>Environmentálna výchova ako priestor pre rozvoj intelektovo nadaných žiakov</w:t>
      </w:r>
      <w:r>
        <w:rPr/>
        <w:br/>
        <w:t xml:space="preserve">vo formáte pdf nájdete na tejto adrese </w:t>
      </w:r>
      <w:hyperlink r:id="rId5" w:tgtFrame="_top">
        <w:r>
          <w:rPr>
            <w:rStyle w:val="style18"/>
            <w:rStyle w:val="style16"/>
          </w:rPr>
          <w:t>http://stromzivota.sk</w:t>
        </w:r>
      </w:hyperlink>
    </w:p>
    <w:p>
      <w:pPr>
        <w:pStyle w:val="style22"/>
        <w:jc w:val="center"/>
      </w:pPr>
      <w:r>
        <w:rPr/>
        <w:t>Publikácia vznikla v rámci projektu „Envitalent“ podporeného zo zdrojov Programu celoživotného vzdelávania Comenius – Partnerstvá Comenius Regio v rokoch 2013 až 2015.</w:t>
      </w:r>
    </w:p>
    <w:p>
      <w:pPr>
        <w:pStyle w:val="style22"/>
        <w:jc w:val="center"/>
      </w:pPr>
      <w:r>
        <w:rPr>
          <w:b/>
        </w:rPr>
      </w:r>
    </w:p>
    <w:p>
      <w:pPr>
        <w:pStyle w:val="style22"/>
        <w:spacing w:after="100" w:before="0"/>
        <w:contextualSpacing w:val="false"/>
        <w:jc w:val="both"/>
      </w:pPr>
      <w:r>
        <w:rPr/>
      </w:r>
    </w:p>
    <w:p>
      <w:pPr>
        <w:pStyle w:val="style22"/>
        <w:spacing w:after="100" w:before="0"/>
        <w:contextualSpacing w:val="false"/>
        <w:jc w:val="both"/>
      </w:pPr>
      <w:r>
        <w:rPr/>
      </w:r>
    </w:p>
    <w:p>
      <w:pPr>
        <w:pStyle w:val="style22"/>
        <w:spacing w:after="100" w:before="0"/>
        <w:contextualSpacing w:val="false"/>
        <w:jc w:val="both"/>
      </w:pPr>
      <w:r>
        <w:rPr/>
      </w:r>
    </w:p>
    <w:p>
      <w:pPr>
        <w:pStyle w:val="style22"/>
        <w:spacing w:after="100" w:before="0"/>
        <w:contextualSpacing w:val="false"/>
        <w:jc w:val="both"/>
      </w:pPr>
      <w:r>
        <w:rPr/>
      </w:r>
    </w:p>
    <w:p>
      <w:pPr>
        <w:pStyle w:val="style22"/>
        <w:spacing w:after="100" w:before="0"/>
        <w:contextualSpacing w:val="false"/>
        <w:jc w:val="both"/>
      </w:pPr>
      <w:r>
        <w:rPr/>
      </w:r>
    </w:p>
    <w:p>
      <w:pPr>
        <w:pStyle w:val="style22"/>
        <w:spacing w:after="100" w:before="0"/>
        <w:contextualSpacing w:val="false"/>
        <w:jc w:val="both"/>
      </w:pPr>
      <w:r>
        <w:rPr/>
      </w:r>
    </w:p>
    <w:p>
      <w:pPr>
        <w:pStyle w:val="style22"/>
        <w:spacing w:after="100" w:before="0"/>
        <w:contextualSpacing w:val="false"/>
        <w:jc w:val="both"/>
      </w:pPr>
      <w:r>
        <w:rPr/>
      </w:r>
    </w:p>
    <w:p>
      <w:pPr>
        <w:pStyle w:val="style22"/>
        <w:spacing w:after="100" w:before="0"/>
        <w:contextualSpacing w:val="false"/>
        <w:jc w:val="both"/>
      </w:pPr>
      <w:r>
        <w:rPr/>
      </w:r>
    </w:p>
    <w:p>
      <w:pPr>
        <w:pStyle w:val="style22"/>
        <w:spacing w:after="100" w:before="0"/>
        <w:contextualSpacing w:val="false"/>
        <w:jc w:val="both"/>
      </w:pPr>
      <w:r>
        <w:rPr/>
      </w:r>
    </w:p>
    <w:p>
      <w:pPr>
        <w:pStyle w:val="style22"/>
        <w:spacing w:after="100" w:before="0"/>
        <w:contextualSpacing w:val="false"/>
        <w:jc w:val="both"/>
      </w:pPr>
      <w:r>
        <w:rPr>
          <w:b/>
        </w:rPr>
      </w:r>
    </w:p>
    <w:p>
      <w:pPr>
        <w:pStyle w:val="style22"/>
        <w:spacing w:after="100" w:before="0"/>
        <w:contextualSpacing w:val="false"/>
        <w:jc w:val="center"/>
      </w:pPr>
      <w:r>
        <w:rPr>
          <w:b/>
        </w:rPr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Východzí štýl"/>
    <w:next w:val="style0"/>
    <w:pPr>
      <w:keepNext/>
      <w:keepLines w:val="false"/>
      <w:pageBreakBefore w:val="false"/>
      <w:widowControl w:val="false"/>
      <w:pBdr>
        <w:top w:val="none"/>
        <w:left w:val="none"/>
        <w:bottom w:val="none"/>
        <w:insideH w:val="none"/>
        <w:right w:val="none"/>
        <w:insideV w:val="none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Mangal" w:eastAsia="SimSu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sk-SK"/>
    </w:rPr>
  </w:style>
  <w:style w:styleId="style15" w:type="character">
    <w:name w:val="Standardní písmo odstavce"/>
    <w:next w:val="style15"/>
    <w:rPr/>
  </w:style>
  <w:style w:styleId="style16" w:type="character">
    <w:name w:val="Internetový odkaz"/>
    <w:next w:val="style16"/>
    <w:rPr>
      <w:color w:val="000080"/>
      <w:u w:val="single"/>
    </w:rPr>
  </w:style>
  <w:style w:styleId="style17" w:type="character">
    <w:name w:val="Symboly pre číslovanie"/>
    <w:next w:val="style17"/>
    <w:rPr/>
  </w:style>
  <w:style w:styleId="style18" w:type="character">
    <w:name w:val="Silné zvýraznenie"/>
    <w:next w:val="style18"/>
    <w:rPr>
      <w:b/>
      <w:bCs/>
    </w:rPr>
  </w:style>
  <w:style w:styleId="style19" w:type="character">
    <w:name w:val="Navštívený internetový odkaz"/>
    <w:next w:val="style19"/>
    <w:rPr>
      <w:color w:val="800000"/>
      <w:u w:val="single"/>
    </w:rPr>
  </w:style>
  <w:style w:styleId="style20" w:type="paragraph">
    <w:name w:val="Normální"/>
    <w:next w:val="style20"/>
    <w:pPr>
      <w:keepNext/>
      <w:keepLines w:val="false"/>
      <w:pageBreakBefore w:val="false"/>
      <w:widowControl w:val="false"/>
      <w:pBdr>
        <w:top w:val="none"/>
        <w:left w:val="none"/>
        <w:bottom w:val="none"/>
        <w:insideH w:val="none"/>
        <w:right w:val="none"/>
        <w:insideV w:val="none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Mangal" w:eastAsia="SimSu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sk-SK"/>
    </w:rPr>
  </w:style>
  <w:style w:styleId="style21" w:type="paragraph">
    <w:name w:val="Název"/>
    <w:basedOn w:val="style0"/>
    <w:next w:val="style22"/>
    <w:pPr>
      <w:keepNext/>
      <w:suppressAutoHyphens w:val="true"/>
      <w:spacing w:after="120" w:before="240"/>
      <w:contextualSpacing w:val="false"/>
    </w:pPr>
    <w:rPr>
      <w:rFonts w:ascii="Arial" w:eastAsia="Microsoft YaHei" w:hAnsi="Arial"/>
      <w:sz w:val="28"/>
      <w:szCs w:val="28"/>
    </w:rPr>
  </w:style>
  <w:style w:styleId="style22" w:type="paragraph">
    <w:name w:val="Telo textu"/>
    <w:basedOn w:val="style0"/>
    <w:next w:val="style22"/>
    <w:pPr>
      <w:suppressAutoHyphens w:val="true"/>
      <w:spacing w:after="120" w:before="0"/>
      <w:contextualSpacing w:val="false"/>
    </w:pPr>
    <w:rPr/>
  </w:style>
  <w:style w:styleId="style23" w:type="paragraph">
    <w:name w:val="Podtitul"/>
    <w:basedOn w:val="style21"/>
    <w:next w:val="style22"/>
    <w:pPr>
      <w:suppressAutoHyphens w:val="true"/>
      <w:jc w:val="center"/>
    </w:pPr>
    <w:rPr>
      <w:i/>
      <w:iCs/>
    </w:rPr>
  </w:style>
  <w:style w:styleId="style24" w:type="paragraph">
    <w:name w:val="Seznam"/>
    <w:basedOn w:val="style22"/>
    <w:next w:val="style24"/>
    <w:pPr>
      <w:suppressAutoHyphens w:val="true"/>
    </w:pPr>
    <w:rPr/>
  </w:style>
  <w:style w:styleId="style25" w:type="paragraph">
    <w:name w:val="Popis"/>
    <w:basedOn w:val="style0"/>
    <w:next w:val="style25"/>
    <w:pPr>
      <w:suppressLineNumbers/>
      <w:suppressAutoHyphens w:val="true"/>
      <w:spacing w:after="120" w:before="120"/>
      <w:contextualSpacing w:val="false"/>
    </w:pPr>
    <w:rPr>
      <w:i/>
      <w:iCs/>
    </w:rPr>
  </w:style>
  <w:style w:styleId="style26" w:type="paragraph">
    <w:name w:val="Index"/>
    <w:basedOn w:val="style0"/>
    <w:next w:val="style26"/>
    <w:pPr>
      <w:suppressLineNumbers/>
      <w:suppressAutoHyphens w:val="true"/>
    </w:pPr>
    <w:rPr/>
  </w:style>
  <w:style w:styleId="style27" w:type="paragraph">
    <w:name w:val="Obsah tabuľky"/>
    <w:basedOn w:val="style0"/>
    <w:next w:val="style27"/>
    <w:pPr>
      <w:suppressLineNumbers/>
      <w:suppressAutoHyphens w:val="true"/>
    </w:pPr>
    <w:rPr/>
  </w:style>
  <w:style w:styleId="style28" w:type="paragraph">
    <w:name w:val="Nadpis tabuľky"/>
    <w:basedOn w:val="style27"/>
    <w:next w:val="style28"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://stromzivota.sk/wp-content/uploads/2015/09/Environment&#225;lna-v&#253;chova-ako-priestor-pre-rozvoj-intelektovo-nadan&#253;ch-&#382;iakov.pd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3300</TotalTime>
  <Application>MicrosoftOffice/12.0 MicrosoftWord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2015-09-14T07:30:00.00Z</dcterms:created>
  <cp:lastModifiedBy> Heldova</cp:lastModifiedBy>
  <cp:lastPrinted>2015-09-14T08:01:00.00Z</cp:lastPrinted>
  <dcterms:modified xsi:type="dcterms:W3CDTF">2015-09-18T11:36:00.00Z</dcterms:modified>
  <cp:revision>1</cp:revision>
</cp:coreProperties>
</file>